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565C51" w:rsidP="00015FED">
      <w:pPr>
        <w:spacing w:before="100" w:beforeAutospacing="1" w:after="100" w:afterAutospacing="1" w:line="264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ANTEPROYECTO DE LEY POR LA</w:t>
      </w:r>
      <w:r w:rsidR="00B80875">
        <w:rPr>
          <w:rFonts w:cs="Arial"/>
          <w:b/>
          <w:sz w:val="22"/>
          <w:szCs w:val="22"/>
        </w:rPr>
        <w:t xml:space="preserve"> QUE SE MODIFICA LA </w:t>
      </w:r>
      <w:r w:rsidR="00B80875" w:rsidRPr="00B80875">
        <w:rPr>
          <w:rFonts w:cs="Arial"/>
          <w:b/>
          <w:sz w:val="22"/>
          <w:szCs w:val="22"/>
        </w:rPr>
        <w:t>LEY 1/2005, DE 9 DE MARZO, POR LA QUE SE REGULA EL RÉGIMEN DEL COMERCIO DE DERECHOS DE EMISIÓN</w:t>
      </w:r>
      <w:r w:rsidR="00B41750">
        <w:rPr>
          <w:rFonts w:cs="Arial"/>
          <w:b/>
          <w:sz w:val="22"/>
          <w:szCs w:val="22"/>
        </w:rPr>
        <w:t xml:space="preserve"> DE GASES DE EFECTO INVERNADERO, </w:t>
      </w:r>
      <w:r w:rsidR="00B41750" w:rsidRPr="00B41750">
        <w:rPr>
          <w:rFonts w:cs="Arial"/>
          <w:b/>
          <w:sz w:val="22"/>
          <w:szCs w:val="22"/>
        </w:rPr>
        <w:t>PARA INTENSIFICAR LAS REDUCCIONES DE EMISIONES DE FORMA EFICAZ EN RELACIÓN CON LOS COSTES Y FACILITAR LAS INVERSIONES EN TECNOLOGÍAS HIPOCARBÓNICAS</w:t>
      </w:r>
      <w:r w:rsidR="00B41750">
        <w:rPr>
          <w:rFonts w:cs="Arial"/>
          <w:b/>
          <w:sz w:val="22"/>
          <w:szCs w:val="22"/>
        </w:rPr>
        <w:t>.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F27551" w:rsidP="00322A81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</w:t>
      </w:r>
      <w:r w:rsidR="00565C51">
        <w:rPr>
          <w:rFonts w:cs="Arial"/>
          <w:sz w:val="22"/>
          <w:szCs w:val="22"/>
        </w:rPr>
        <w:t>stablecido</w:t>
      </w:r>
      <w:r w:rsidRPr="001E4498">
        <w:rPr>
          <w:rFonts w:cs="Arial"/>
          <w:sz w:val="22"/>
          <w:szCs w:val="22"/>
        </w:rPr>
        <w:t xml:space="preserve">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 modificada por la Ley 40/2015, de 1 de octubre, de Régimen Jurídico del Sector Público,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  <w:r w:rsidR="00322A81">
        <w:rPr>
          <w:rFonts w:cs="Arial"/>
          <w:sz w:val="22"/>
          <w:szCs w:val="22"/>
        </w:rPr>
        <w:t xml:space="preserve"> </w:t>
      </w:r>
      <w:hyperlink r:id="rId7" w:history="1">
        <w:r w:rsidR="00015FED" w:rsidRPr="001E4498">
          <w:rPr>
            <w:rStyle w:val="Hipervnculo"/>
            <w:rFonts w:eastAsiaTheme="minorEastAsia" w:cs="Arial"/>
            <w:sz w:val="22"/>
            <w:szCs w:val="22"/>
          </w:rPr>
          <w:t>buzon-sgce@mapama.es</w:t>
        </w:r>
      </w:hyperlink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565C51" w:rsidRDefault="00015FED" w:rsidP="00565C51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>cumplimentando la t</w:t>
      </w:r>
      <w:r w:rsidR="00322A81">
        <w:rPr>
          <w:rFonts w:cs="Arial"/>
          <w:b/>
          <w:i/>
          <w:sz w:val="22"/>
          <w:szCs w:val="22"/>
          <w:u w:val="single"/>
        </w:rPr>
        <w:t>abla que figu</w:t>
      </w:r>
      <w:r w:rsidR="00565C51">
        <w:rPr>
          <w:rFonts w:cs="Arial"/>
          <w:b/>
          <w:i/>
          <w:sz w:val="22"/>
          <w:szCs w:val="22"/>
          <w:u w:val="single"/>
        </w:rPr>
        <w:t xml:space="preserve">ra a continuación. </w:t>
      </w:r>
    </w:p>
    <w:p w:rsidR="00565C51" w:rsidRDefault="00565C51" w:rsidP="00565C51">
      <w:pPr>
        <w:jc w:val="both"/>
        <w:rPr>
          <w:rFonts w:cs="Arial"/>
          <w:b/>
          <w:i/>
          <w:sz w:val="22"/>
          <w:szCs w:val="22"/>
          <w:u w:val="single"/>
        </w:rPr>
      </w:pPr>
    </w:p>
    <w:p w:rsidR="00565C51" w:rsidRPr="00322A81" w:rsidRDefault="00565C51" w:rsidP="00565C51">
      <w:pPr>
        <w:jc w:val="both"/>
        <w:rPr>
          <w:rFonts w:cs="Arial"/>
          <w:b/>
          <w:sz w:val="22"/>
          <w:szCs w:val="22"/>
        </w:rPr>
      </w:pPr>
      <w:r w:rsidRPr="00565C51">
        <w:rPr>
          <w:rFonts w:cs="Arial"/>
          <w:b/>
          <w:sz w:val="22"/>
          <w:szCs w:val="22"/>
        </w:rPr>
        <w:t>L</w:t>
      </w:r>
      <w:r>
        <w:rPr>
          <w:rFonts w:cs="Arial"/>
          <w:b/>
          <w:sz w:val="22"/>
          <w:szCs w:val="22"/>
        </w:rPr>
        <w:t>as observaciones deberán</w:t>
      </w:r>
      <w:r w:rsidRPr="00322A81">
        <w:rPr>
          <w:rFonts w:cs="Arial"/>
          <w:b/>
          <w:sz w:val="22"/>
          <w:szCs w:val="22"/>
        </w:rPr>
        <w:t xml:space="preserve"> realizarse </w:t>
      </w:r>
      <w:r>
        <w:rPr>
          <w:rFonts w:cs="Arial"/>
          <w:b/>
          <w:sz w:val="22"/>
          <w:szCs w:val="22"/>
        </w:rPr>
        <w:t>identificando el punto del artículo único o</w:t>
      </w:r>
      <w:r w:rsidRPr="00322A81">
        <w:rPr>
          <w:rFonts w:cs="Arial"/>
          <w:b/>
          <w:sz w:val="22"/>
          <w:szCs w:val="22"/>
        </w:rPr>
        <w:t xml:space="preserve"> la disposición.</w:t>
      </w:r>
    </w:p>
    <w:p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B80875" w:rsidP="00322A81">
            <w:pPr>
              <w:spacing w:before="8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Punto del artículo único o </w:t>
            </w:r>
            <w:r w:rsidR="00322A81">
              <w:rPr>
                <w:rFonts w:cs="Arial"/>
                <w:sz w:val="22"/>
                <w:szCs w:val="22"/>
              </w:rPr>
              <w:t>disposición sobre la</w:t>
            </w:r>
            <w:r w:rsidR="001E4498" w:rsidRPr="001E4498">
              <w:rPr>
                <w:rFonts w:cs="Arial"/>
                <w:sz w:val="22"/>
                <w:szCs w:val="22"/>
              </w:rPr>
              <w:t xml:space="preserve"> que se realiza la observación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  <w:p w:rsidR="001E4498" w:rsidRPr="001E4498" w:rsidRDefault="001E4498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</w:tbl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3D5325" w:rsidRPr="001E4498" w:rsidRDefault="003D5325" w:rsidP="000C3DD7">
      <w:pPr>
        <w:tabs>
          <w:tab w:val="left" w:pos="1988"/>
        </w:tabs>
        <w:rPr>
          <w:sz w:val="22"/>
          <w:szCs w:val="22"/>
        </w:rPr>
      </w:pPr>
      <w:bookmarkStart w:id="0" w:name="_GoBack"/>
      <w:bookmarkEnd w:id="0"/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46" w:rsidRDefault="00D02A46">
      <w:r>
        <w:separator/>
      </w:r>
    </w:p>
  </w:endnote>
  <w:endnote w:type="continuationSeparator" w:id="0">
    <w:p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914361536</w:t>
          </w:r>
        </w:p>
        <w:p w:rsidR="00287574" w:rsidRPr="00644E5C" w:rsidRDefault="001E4498" w:rsidP="00B86EB7">
          <w:pPr>
            <w:pStyle w:val="Piedepgina"/>
          </w:pPr>
          <w:r>
            <w:rPr>
              <w:sz w:val="16"/>
              <w:szCs w:val="16"/>
            </w:rPr>
            <w:t>FAX: (34) 914361527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46" w:rsidRDefault="00D02A46">
      <w:r>
        <w:separator/>
      </w:r>
    </w:p>
  </w:footnote>
  <w:footnote w:type="continuationSeparator" w:id="0">
    <w:p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pt;height:59pt" o:ole="" fillcolor="window">
                                <v:imagedata r:id="rId1" o:title=""/>
                              </v:shape>
                              <o:OLEObject Type="Embed" ProgID="PBrush" ShapeID="_x0000_i1026" DrawAspect="Content" ObjectID="_1616833952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616568524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E4498"/>
    <w:rsid w:val="00220FBD"/>
    <w:rsid w:val="00223D52"/>
    <w:rsid w:val="00287574"/>
    <w:rsid w:val="00295E37"/>
    <w:rsid w:val="002A434B"/>
    <w:rsid w:val="002F7E9E"/>
    <w:rsid w:val="00322A81"/>
    <w:rsid w:val="00347FA0"/>
    <w:rsid w:val="0039647E"/>
    <w:rsid w:val="003D2D7D"/>
    <w:rsid w:val="003D5325"/>
    <w:rsid w:val="00476101"/>
    <w:rsid w:val="00530CE5"/>
    <w:rsid w:val="00555C4D"/>
    <w:rsid w:val="00565C51"/>
    <w:rsid w:val="00600BA0"/>
    <w:rsid w:val="00650217"/>
    <w:rsid w:val="006A1480"/>
    <w:rsid w:val="006D2F54"/>
    <w:rsid w:val="006D6037"/>
    <w:rsid w:val="00726FBE"/>
    <w:rsid w:val="007A106C"/>
    <w:rsid w:val="00812067"/>
    <w:rsid w:val="00875070"/>
    <w:rsid w:val="00885E5A"/>
    <w:rsid w:val="008A4A9D"/>
    <w:rsid w:val="008E7D4C"/>
    <w:rsid w:val="00950400"/>
    <w:rsid w:val="009A5E79"/>
    <w:rsid w:val="009F2E35"/>
    <w:rsid w:val="00A2535D"/>
    <w:rsid w:val="00A97219"/>
    <w:rsid w:val="00AA76A9"/>
    <w:rsid w:val="00B249FC"/>
    <w:rsid w:val="00B41750"/>
    <w:rsid w:val="00B460E7"/>
    <w:rsid w:val="00B53132"/>
    <w:rsid w:val="00B80875"/>
    <w:rsid w:val="00B847A1"/>
    <w:rsid w:val="00B86EB7"/>
    <w:rsid w:val="00BB1DC1"/>
    <w:rsid w:val="00BC58DE"/>
    <w:rsid w:val="00BE5CF1"/>
    <w:rsid w:val="00CA0C7C"/>
    <w:rsid w:val="00CC3B58"/>
    <w:rsid w:val="00CF47F7"/>
    <w:rsid w:val="00D02A46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Fabra Cadenas, Helena</cp:lastModifiedBy>
  <cp:revision>9</cp:revision>
  <cp:lastPrinted>2010-01-14T13:29:00Z</cp:lastPrinted>
  <dcterms:created xsi:type="dcterms:W3CDTF">2018-06-19T15:54:00Z</dcterms:created>
  <dcterms:modified xsi:type="dcterms:W3CDTF">2019-04-15T09:46:00Z</dcterms:modified>
</cp:coreProperties>
</file>